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大厂回族自治县统计局</w:t>
      </w:r>
      <w:r>
        <w:rPr>
          <w:rFonts w:ascii="Times New Roman" w:hAnsi="Times New Roman" w:eastAsia="方正小标宋简体" w:cs="Times New Roman"/>
          <w:sz w:val="44"/>
          <w:szCs w:val="44"/>
        </w:rPr>
        <w:t>201</w:t>
      </w:r>
      <w:r>
        <w:rPr>
          <w:rFonts w:hint="eastAsia" w:ascii="Times New Roman" w:hAnsi="Times New Roman" w:eastAsia="方正小标宋简体" w:cs="Times New Roman"/>
          <w:sz w:val="44"/>
          <w:szCs w:val="44"/>
        </w:rPr>
        <w:t>9</w:t>
      </w:r>
      <w:r>
        <w:rPr>
          <w:rFonts w:ascii="Times New Roman" w:hAnsi="Times New Roman" w:eastAsia="方正小标宋简体" w:cs="Times New Roman"/>
          <w:sz w:val="44"/>
          <w:szCs w:val="44"/>
        </w:rPr>
        <w:t>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val="en-US"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w:t>
      </w:r>
      <w:r>
        <w:rPr>
          <w:rFonts w:hint="eastAsia" w:ascii="Times New Roman" w:hAnsi="Times New Roman" w:eastAsia="仿宋_GB2312" w:cs="Times New Roman"/>
          <w:sz w:val="32"/>
          <w:szCs w:val="32"/>
          <w:lang w:eastAsia="zh-CN"/>
        </w:rPr>
        <w:t>大厂回族自治县统计局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hint="eastAsia" w:ascii="楷体" w:hAnsi="楷体" w:eastAsia="楷体"/>
          <w:b/>
          <w:sz w:val="32"/>
          <w:szCs w:val="32"/>
        </w:rPr>
      </w:pPr>
      <w:r>
        <w:rPr>
          <w:rFonts w:ascii="Times New Roman" w:hAnsi="Times New Roman" w:eastAsia="楷体_GB2312" w:cs="Times New Roman"/>
          <w:b/>
          <w:sz w:val="32"/>
          <w:szCs w:val="32"/>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 xml:space="preserve">(一)承担组织领导和管理协调全县统计工作，确保统计数据真实、准确、及时的责任。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二)拟订统计工作方面的地方性法规、政府规章草案，制定全县统计改革、统计现代化建设规划、统计调查计划和地方统计调查标准、统计调查制度，贯彻执行监督检查统计法律、法规实施情况，指导全县统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 xml:space="preserve">(三)贯彻执行国家和省、市国民经济核算制度，组织实施全县国民经济核算、资产负债核算和投入产出调查，整理、测算和提供国民经济核算资料，监督管理全县国民经济核算工作。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四)组织完成国家和省、市部署的人口普查、经济普查、农业普查等各项普查、社情民意调查及其它重要调查任务；依照国家和省、市部署的各项普查、社情民意调查及其它重要调查任务，研究提出全县普查、社情民意调查及其它重要调查计划并组织实施，汇总、整理和提供有关统计数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五)组织实施农林牧渔业、农业产值、农产品产量、农业产业化、工业、能源、人口、工资、科技、消费、建筑业、固定资产投资、房地产开发、高新技术产业、服务业、规模以下工业抽样、城镇和农村住户收集、汇总、整理和提供统计数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 xml:space="preserve">(六)组织实施社会发展水平、县域经济发展、节能降耗、城镇化发展、妇女儿童、企业景气等统计监测，收集、整理和提供统计数据。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 xml:space="preserve">(七)综合整理和提供财政、金融、文化教育、卫生、社会保障、公用事业、对外贸易等基本统计数据。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(八)组织全县各部门的经济、社会、科技统计调查，统一核定、管理、公布全县性基本统计资料，定期发布全县国民经济和社会发展情况的统计信息；组织建立统计信息共享制度和发布制度。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(九)对国民经济、社会发展、科技进步等情况进行统计分析、统计预测和统计监督，向县委、县政府及有关部门提供统计信息和咨询建议。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 xml:space="preserve">（十）组织管理、审批全县统计调查项目、调查计划、调查方案；指导专业统计基础工作、统计基层业务和规范化建设；组织建立统计信息管理制度，建立健全统计数据质量审核、监控和评估制度，开展对重要统计数据的审核、监控和评估。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十一)贯彻执行国家和省统计信息化基本技术标准和运行规则；制定全县统计信息化规划，指导全县统计系统信息化建设；管理全县统计调查数据资源；组织处理各项统计调查数据；负责全县统计数据库、信息系统和网络的维护和运行安全；负责全县统计信息设备与网络系统运行的技术支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（十二）加强基层统计人员培训，指导全县统计专业技术队伍建设，协助有关部门组织管理统计专业技术资格考试</w:t>
      </w:r>
      <w:r>
        <w:rPr>
          <w:rFonts w:hint="eastAsia" w:ascii="仿宋" w:hAnsi="仿宋" w:eastAsia="仿宋"/>
          <w:sz w:val="32"/>
          <w:szCs w:val="32"/>
          <w:lang w:eastAsia="zh-CN"/>
        </w:rPr>
        <w:t>和</w:t>
      </w:r>
      <w:r>
        <w:rPr>
          <w:rFonts w:hint="eastAsia" w:ascii="仿宋" w:hAnsi="仿宋" w:eastAsia="仿宋"/>
          <w:sz w:val="32"/>
          <w:szCs w:val="32"/>
        </w:rPr>
        <w:t>评聘工作。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 w:hAnsi="仿宋" w:eastAsia="仿宋"/>
          <w:sz w:val="32"/>
          <w:szCs w:val="32"/>
        </w:rPr>
      </w:pPr>
      <w:r>
        <w:rPr>
          <w:rFonts w:hint="eastAsia" w:ascii="仿宋" w:hAnsi="仿宋" w:eastAsia="仿宋"/>
          <w:sz w:val="32"/>
          <w:szCs w:val="32"/>
        </w:rPr>
        <w:t>(十三)承办县政府交办的其他事项。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1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75"/>
        <w:gridCol w:w="1725"/>
        <w:gridCol w:w="1653"/>
        <w:gridCol w:w="32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475"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单位名称</w:t>
            </w:r>
          </w:p>
        </w:tc>
        <w:tc>
          <w:tcPr>
            <w:tcW w:w="1725"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单位性质</w:t>
            </w:r>
          </w:p>
        </w:tc>
        <w:tc>
          <w:tcPr>
            <w:tcW w:w="1653"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单位规格</w:t>
            </w:r>
          </w:p>
        </w:tc>
        <w:tc>
          <w:tcPr>
            <w:tcW w:w="3282"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475" w:type="dxa"/>
            <w:vMerge w:val="continue"/>
            <w:shd w:val="clear" w:color="auto" w:fill="auto"/>
            <w:vAlign w:val="center"/>
          </w:tcPr>
          <w:p>
            <w:pPr>
              <w:spacing w:line="584" w:lineRule="exact"/>
              <w:jc w:val="left"/>
              <w:outlineLvl w:val="0"/>
              <w:rPr>
                <w:rFonts w:ascii="Times New Roman" w:hAnsi="Times New Roman" w:eastAsia="仿宋_GB2312" w:cs="Times New Roman"/>
                <w:sz w:val="32"/>
                <w:szCs w:val="32"/>
              </w:rPr>
            </w:pPr>
          </w:p>
        </w:tc>
        <w:tc>
          <w:tcPr>
            <w:tcW w:w="1725" w:type="dxa"/>
            <w:vMerge w:val="continue"/>
            <w:shd w:val="clear" w:color="auto" w:fill="auto"/>
            <w:vAlign w:val="center"/>
          </w:tcPr>
          <w:p>
            <w:pPr>
              <w:spacing w:line="584" w:lineRule="exact"/>
              <w:jc w:val="left"/>
              <w:outlineLvl w:val="0"/>
              <w:rPr>
                <w:rFonts w:ascii="Times New Roman" w:hAnsi="Times New Roman" w:eastAsia="仿宋_GB2312" w:cs="Times New Roman"/>
                <w:sz w:val="32"/>
                <w:szCs w:val="32"/>
              </w:rPr>
            </w:pPr>
          </w:p>
        </w:tc>
        <w:tc>
          <w:tcPr>
            <w:tcW w:w="1653" w:type="dxa"/>
            <w:vMerge w:val="continue"/>
            <w:shd w:val="clear" w:color="auto" w:fill="auto"/>
            <w:vAlign w:val="center"/>
          </w:tcPr>
          <w:p>
            <w:pPr>
              <w:spacing w:line="584" w:lineRule="exact"/>
              <w:jc w:val="left"/>
              <w:outlineLvl w:val="0"/>
              <w:rPr>
                <w:rFonts w:ascii="Times New Roman" w:hAnsi="Times New Roman" w:eastAsia="仿宋_GB2312" w:cs="Times New Roman"/>
                <w:sz w:val="32"/>
                <w:szCs w:val="32"/>
              </w:rPr>
            </w:pPr>
          </w:p>
        </w:tc>
        <w:tc>
          <w:tcPr>
            <w:tcW w:w="3282" w:type="dxa"/>
            <w:vMerge w:val="continue"/>
            <w:shd w:val="clear" w:color="auto" w:fill="auto"/>
            <w:vAlign w:val="center"/>
          </w:tcPr>
          <w:p>
            <w:pPr>
              <w:spacing w:line="584" w:lineRule="exact"/>
              <w:jc w:val="left"/>
              <w:outlineLvl w:val="0"/>
              <w:rPr>
                <w:rFonts w:ascii="Times New Roman" w:hAnsi="Times New Roman" w:eastAsia="仿宋_GB2312"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475" w:type="dxa"/>
            <w:shd w:val="clear" w:color="auto" w:fill="auto"/>
            <w:vAlign w:val="center"/>
          </w:tcPr>
          <w:p>
            <w:pPr>
              <w:jc w:val="left"/>
              <w:rPr>
                <w:rFonts w:ascii="Times New Roman" w:hAnsi="Times New Roman" w:eastAsia="仿宋_GB2312" w:cs="Times New Roman"/>
                <w:b/>
                <w:sz w:val="32"/>
                <w:szCs w:val="32"/>
              </w:rPr>
            </w:pPr>
            <w:r>
              <w:rPr>
                <w:rFonts w:hint="eastAsia" w:ascii="仿宋" w:hAnsi="仿宋" w:eastAsia="仿宋"/>
                <w:sz w:val="32"/>
                <w:szCs w:val="32"/>
              </w:rPr>
              <w:t>大厂回族自治县统计局</w:t>
            </w:r>
          </w:p>
        </w:tc>
        <w:tc>
          <w:tcPr>
            <w:tcW w:w="1725" w:type="dxa"/>
            <w:shd w:val="clear" w:color="auto" w:fill="auto"/>
            <w:vAlign w:val="center"/>
          </w:tcPr>
          <w:p>
            <w:pPr>
              <w:jc w:val="center"/>
              <w:rPr>
                <w:rFonts w:ascii="Times New Roman" w:hAnsi="Times New Roman" w:eastAsia="仿宋_GB2312" w:cs="Times New Roman"/>
                <w:b/>
                <w:sz w:val="32"/>
                <w:szCs w:val="32"/>
              </w:rPr>
            </w:pPr>
            <w:r>
              <w:rPr>
                <w:rFonts w:hint="eastAsia" w:ascii="仿宋" w:hAnsi="仿宋" w:eastAsia="仿宋"/>
                <w:sz w:val="32"/>
                <w:szCs w:val="32"/>
                <w:lang w:val="en-US" w:eastAsia="zh-CN"/>
              </w:rPr>
              <w:t>事业单位</w:t>
            </w:r>
          </w:p>
        </w:tc>
        <w:tc>
          <w:tcPr>
            <w:tcW w:w="1653" w:type="dxa"/>
            <w:shd w:val="clear" w:color="auto" w:fill="auto"/>
            <w:vAlign w:val="center"/>
          </w:tcPr>
          <w:p>
            <w:pPr>
              <w:jc w:val="center"/>
              <w:rPr>
                <w:rFonts w:ascii="Times New Roman" w:hAnsi="Times New Roman" w:eastAsia="仿宋_GB2312" w:cs="Times New Roman"/>
                <w:b/>
                <w:sz w:val="32"/>
                <w:szCs w:val="32"/>
              </w:rPr>
            </w:pPr>
            <w:r>
              <w:rPr>
                <w:rFonts w:hint="eastAsia" w:ascii="仿宋" w:hAnsi="仿宋" w:eastAsia="仿宋"/>
                <w:sz w:val="32"/>
                <w:szCs w:val="32"/>
              </w:rPr>
              <w:t>正科级</w:t>
            </w:r>
          </w:p>
        </w:tc>
        <w:tc>
          <w:tcPr>
            <w:tcW w:w="3282" w:type="dxa"/>
            <w:shd w:val="clear" w:color="auto" w:fill="auto"/>
            <w:vAlign w:val="center"/>
          </w:tcPr>
          <w:p>
            <w:pPr>
              <w:jc w:val="left"/>
              <w:rPr>
                <w:rFonts w:ascii="Times New Roman" w:hAnsi="Times New Roman" w:eastAsia="仿宋_GB2312" w:cs="Times New Roman"/>
                <w:b/>
                <w:sz w:val="32"/>
                <w:szCs w:val="32"/>
              </w:rPr>
            </w:pPr>
            <w:r>
              <w:rPr>
                <w:rFonts w:hint="eastAsia" w:ascii="仿宋" w:hAnsi="仿宋" w:eastAsia="仿宋"/>
                <w:color w:val="auto"/>
                <w:sz w:val="32"/>
                <w:szCs w:val="32"/>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我部门全部</w:t>
      </w:r>
      <w:r>
        <w:rPr>
          <w:rFonts w:ascii="Times New Roman" w:hAnsi="Times New Roman" w:eastAsia="仿宋_GB2312" w:cs="Times New Roman"/>
          <w:sz w:val="32"/>
          <w:szCs w:val="32"/>
        </w:rPr>
        <w:t>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580.71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580.71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大厂回族自治县统计局</w:t>
      </w:r>
      <w:r>
        <w:rPr>
          <w:rFonts w:hint="eastAsia" w:ascii="Times New Roman" w:hAnsi="Times New Roman" w:eastAsia="仿宋_GB2312" w:cs="Times New Roman"/>
          <w:sz w:val="32"/>
          <w:szCs w:val="32"/>
          <w:lang w:val="en-US" w:eastAsia="zh-CN"/>
        </w:rPr>
        <w:t>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580.71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535.71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477.59</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58.12</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45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全部为</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rPr>
        <w:t>第四次全国经济普查经费</w:t>
      </w:r>
      <w:r>
        <w:rPr>
          <w:rFonts w:hint="eastAsia" w:ascii="Times New Roman" w:hAnsi="Times New Roman" w:eastAsia="仿宋_GB2312" w:cs="Times New Roman"/>
          <w:sz w:val="32"/>
          <w:szCs w:val="32"/>
          <w:lang w:val="en-US" w:eastAsia="zh-CN"/>
        </w:rPr>
        <w:t>20</w:t>
      </w:r>
      <w:r>
        <w:rPr>
          <w:rFonts w:hint="eastAsia" w:ascii="仿宋" w:hAnsi="仿宋" w:eastAsia="仿宋"/>
          <w:sz w:val="32"/>
          <w:szCs w:val="32"/>
          <w:lang w:val="en-US" w:eastAsia="zh-CN"/>
        </w:rPr>
        <w:t>万元</w:t>
      </w:r>
      <w:r>
        <w:rPr>
          <w:rFonts w:hint="eastAsia" w:ascii="仿宋" w:hAnsi="仿宋" w:eastAsia="仿宋"/>
          <w:sz w:val="32"/>
          <w:szCs w:val="32"/>
        </w:rPr>
        <w:t>、专项统计调查经费</w:t>
      </w:r>
      <w:r>
        <w:rPr>
          <w:rFonts w:hint="eastAsia" w:ascii="仿宋" w:hAnsi="仿宋" w:eastAsia="仿宋"/>
          <w:sz w:val="32"/>
          <w:szCs w:val="32"/>
          <w:lang w:val="en-US" w:eastAsia="zh-CN"/>
        </w:rPr>
        <w:t>20万元</w:t>
      </w:r>
      <w:r>
        <w:rPr>
          <w:rFonts w:hint="eastAsia" w:ascii="仿宋" w:hAnsi="仿宋" w:eastAsia="仿宋"/>
          <w:sz w:val="32"/>
          <w:szCs w:val="32"/>
        </w:rPr>
        <w:t>、政府向社会购买服务专项经费</w:t>
      </w:r>
      <w:r>
        <w:rPr>
          <w:rFonts w:hint="eastAsia" w:ascii="Times New Roman" w:hAnsi="Times New Roman" w:eastAsia="仿宋_GB2312" w:cs="Times New Roman"/>
          <w:sz w:val="32"/>
          <w:szCs w:val="32"/>
          <w:lang w:val="en-US" w:eastAsia="zh-CN"/>
        </w:rPr>
        <w:t>5</w:t>
      </w:r>
      <w:r>
        <w:rPr>
          <w:rFonts w:hint="eastAsia" w:ascii="仿宋" w:hAnsi="仿宋" w:eastAsia="仿宋"/>
          <w:sz w:val="32"/>
          <w:szCs w:val="32"/>
          <w:lang w:val="en-US" w:eastAsia="zh-CN"/>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rPr>
        <w:t>9</w:t>
      </w:r>
      <w:r>
        <w:rPr>
          <w:rFonts w:ascii="Times New Roman" w:hAnsi="Times New Roman" w:eastAsia="仿宋_GB2312" w:cs="Times New Roman"/>
          <w:sz w:val="32"/>
          <w:szCs w:val="32"/>
          <w:highlight w:val="none"/>
        </w:rPr>
        <w:t>年预算收支安排</w:t>
      </w:r>
      <w:r>
        <w:rPr>
          <w:rFonts w:hint="eastAsia" w:ascii="Times New Roman" w:hAnsi="Times New Roman" w:eastAsia="仿宋_GB2312" w:cs="Times New Roman"/>
          <w:sz w:val="32"/>
          <w:szCs w:val="32"/>
          <w:highlight w:val="none"/>
          <w:lang w:val="en-US" w:eastAsia="zh-CN"/>
        </w:rPr>
        <w:t>580.71</w:t>
      </w:r>
      <w:r>
        <w:rPr>
          <w:rFonts w:ascii="Times New Roman" w:hAnsi="Times New Roman" w:eastAsia="仿宋_GB2312" w:cs="Times New Roman"/>
          <w:sz w:val="32"/>
          <w:szCs w:val="32"/>
          <w:highlight w:val="none"/>
        </w:rPr>
        <w:t>万元，较201</w:t>
      </w:r>
      <w:r>
        <w:rPr>
          <w:rFonts w:hint="eastAsia" w:ascii="Times New Roman" w:hAnsi="Times New Roman" w:eastAsia="仿宋_GB2312" w:cs="Times New Roman"/>
          <w:sz w:val="32"/>
          <w:szCs w:val="32"/>
          <w:highlight w:val="none"/>
        </w:rPr>
        <w:t>8</w:t>
      </w:r>
      <w:r>
        <w:rPr>
          <w:rFonts w:ascii="Times New Roman" w:hAnsi="Times New Roman" w:eastAsia="仿宋_GB2312" w:cs="Times New Roman"/>
          <w:sz w:val="32"/>
          <w:szCs w:val="32"/>
          <w:highlight w:val="none"/>
        </w:rPr>
        <w:t>年预算增加</w:t>
      </w:r>
      <w:r>
        <w:rPr>
          <w:rFonts w:hint="eastAsia" w:ascii="Times New Roman" w:hAnsi="Times New Roman" w:eastAsia="仿宋_GB2312" w:cs="Times New Roman"/>
          <w:sz w:val="32"/>
          <w:szCs w:val="32"/>
          <w:highlight w:val="none"/>
          <w:lang w:val="en-US" w:eastAsia="zh-CN"/>
        </w:rPr>
        <w:t>37.96</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21.96</w:t>
      </w:r>
      <w:r>
        <w:rPr>
          <w:rFonts w:ascii="Times New Roman" w:hAnsi="Times New Roman" w:eastAsia="仿宋_GB2312" w:cs="Times New Roman"/>
          <w:sz w:val="32"/>
          <w:szCs w:val="32"/>
          <w:highlight w:val="none"/>
        </w:rPr>
        <w:t>万元，主要为</w:t>
      </w:r>
      <w:r>
        <w:rPr>
          <w:rFonts w:hint="eastAsia" w:ascii="仿宋" w:hAnsi="仿宋" w:eastAsia="仿宋"/>
          <w:sz w:val="32"/>
          <w:szCs w:val="32"/>
          <w:highlight w:val="none"/>
        </w:rPr>
        <w:t>人员经费</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val="en-US" w:eastAsia="zh-CN"/>
        </w:rPr>
        <w:t>16</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第四次全国经济普查经费</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highlight w:val="none"/>
        </w:rPr>
      </w:pPr>
      <w:r>
        <w:rPr>
          <w:rFonts w:ascii="Times New Roman" w:hAnsi="黑体" w:eastAsia="黑体" w:cs="Times New Roman"/>
          <w:sz w:val="32"/>
          <w:szCs w:val="32"/>
          <w:highlight w:val="none"/>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58.12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统计局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0.76</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highlight w:val="none"/>
        </w:rPr>
        <w:t>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1.21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万元（其中：</w:t>
      </w:r>
      <w:r>
        <w:rPr>
          <w:rFonts w:ascii="Times New Roman" w:hAnsi="Times New Roman" w:eastAsia="仿宋_GB2312" w:cs="Times New Roman"/>
          <w:sz w:val="32"/>
          <w:szCs w:val="32"/>
        </w:rPr>
        <w:t>公务用车购置费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0.21</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大厂回族自治县统计局主要职责是完成国民经济核算、统计调查和统计政务管理工作，重点完成第</w:t>
      </w:r>
      <w:r>
        <w:rPr>
          <w:rFonts w:hint="eastAsia" w:ascii="仿宋" w:hAnsi="仿宋" w:eastAsia="仿宋"/>
          <w:sz w:val="32"/>
          <w:szCs w:val="32"/>
          <w:highlight w:val="none"/>
          <w:lang w:eastAsia="zh-CN"/>
        </w:rPr>
        <w:t>四</w:t>
      </w:r>
      <w:r>
        <w:rPr>
          <w:rFonts w:hint="eastAsia" w:ascii="仿宋" w:hAnsi="仿宋" w:eastAsia="仿宋"/>
          <w:sz w:val="32"/>
          <w:szCs w:val="32"/>
          <w:highlight w:val="none"/>
        </w:rPr>
        <w:t>次全国</w:t>
      </w:r>
      <w:r>
        <w:rPr>
          <w:rFonts w:hint="eastAsia" w:ascii="仿宋" w:hAnsi="仿宋" w:eastAsia="仿宋"/>
          <w:sz w:val="32"/>
          <w:szCs w:val="32"/>
          <w:highlight w:val="none"/>
          <w:lang w:eastAsia="zh-CN"/>
        </w:rPr>
        <w:t>经济</w:t>
      </w:r>
      <w:r>
        <w:rPr>
          <w:rFonts w:hint="eastAsia" w:ascii="仿宋" w:hAnsi="仿宋" w:eastAsia="仿宋"/>
          <w:sz w:val="32"/>
          <w:szCs w:val="32"/>
          <w:highlight w:val="none"/>
        </w:rPr>
        <w:t>普查的组建、宣传工作，完成城乡住户抽样调查、能源统计，服务业调查，劳动力调查，能源统计，全面建设小康社会监测等国民经济核算、统计调查和统计政务管理工作，为政府提供相关统计数据和统计分析，为县委、县政府社会经济决策提供相关资料。</w:t>
      </w:r>
    </w:p>
    <w:p>
      <w:pPr>
        <w:ind w:firstLine="560"/>
        <w:rPr>
          <w:rFonts w:hint="eastAsia" w:ascii="仿宋" w:hAnsi="仿宋" w:eastAsia="仿宋"/>
          <w:sz w:val="32"/>
          <w:szCs w:val="32"/>
          <w:highlight w:val="none"/>
        </w:rPr>
      </w:pPr>
      <w:r>
        <w:rPr>
          <w:rFonts w:hint="eastAsia" w:ascii="仿宋" w:hAnsi="仿宋" w:eastAsia="仿宋"/>
          <w:sz w:val="32"/>
          <w:szCs w:val="32"/>
          <w:highlight w:val="none"/>
        </w:rPr>
        <w:t>（一）国民经济核算绩效目标情况</w:t>
      </w:r>
    </w:p>
    <w:p>
      <w:pPr>
        <w:ind w:firstLine="560"/>
        <w:rPr>
          <w:rFonts w:hint="eastAsia" w:ascii="仿宋" w:hAnsi="仿宋" w:eastAsia="仿宋"/>
          <w:sz w:val="32"/>
          <w:szCs w:val="32"/>
          <w:highlight w:val="none"/>
        </w:rPr>
      </w:pPr>
      <w:r>
        <w:rPr>
          <w:rFonts w:hint="eastAsia" w:ascii="仿宋" w:hAnsi="仿宋" w:eastAsia="仿宋"/>
          <w:sz w:val="32"/>
          <w:szCs w:val="32"/>
          <w:highlight w:val="none"/>
        </w:rPr>
        <w:t>在全县开展GDP核算、资产负债核算工作。</w:t>
      </w:r>
    </w:p>
    <w:p>
      <w:pPr>
        <w:ind w:firstLine="560"/>
        <w:rPr>
          <w:rFonts w:hint="eastAsia" w:ascii="仿宋" w:hAnsi="仿宋" w:eastAsia="仿宋"/>
          <w:sz w:val="32"/>
          <w:szCs w:val="32"/>
          <w:highlight w:val="none"/>
        </w:rPr>
      </w:pPr>
      <w:r>
        <w:rPr>
          <w:rFonts w:hint="eastAsia" w:ascii="仿宋" w:hAnsi="仿宋" w:eastAsia="仿宋"/>
          <w:sz w:val="32"/>
          <w:szCs w:val="32"/>
          <w:highlight w:val="none"/>
        </w:rPr>
        <w:t>绩效目标：完成全县年度数据的测算审核认定工作；完成全县季度数据的测算审核认定工作；完成必要分析，对相关经济决策提供重要依据。</w:t>
      </w:r>
    </w:p>
    <w:p>
      <w:pPr>
        <w:ind w:firstLine="560"/>
        <w:rPr>
          <w:rFonts w:hint="eastAsia" w:ascii="仿宋" w:hAnsi="仿宋" w:eastAsia="仿宋"/>
          <w:sz w:val="32"/>
          <w:szCs w:val="32"/>
          <w:highlight w:val="none"/>
        </w:rPr>
      </w:pPr>
      <w:r>
        <w:rPr>
          <w:rFonts w:hint="eastAsia" w:ascii="仿宋" w:hAnsi="仿宋" w:eastAsia="仿宋"/>
          <w:sz w:val="32"/>
          <w:szCs w:val="32"/>
          <w:highlight w:val="none"/>
        </w:rPr>
        <w:t>（二）统计调查绩效目标情况</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组织国情国力普查和工业、农业、社会、教育、节能、卫生等涉及相关行业的专项统计调查监测，收集、整理统计数据，提供咨询建议。</w:t>
      </w:r>
    </w:p>
    <w:p>
      <w:pPr>
        <w:ind w:firstLine="560"/>
        <w:rPr>
          <w:rFonts w:hint="eastAsia" w:ascii="仿宋" w:hAnsi="仿宋" w:eastAsia="仿宋"/>
          <w:sz w:val="32"/>
          <w:szCs w:val="32"/>
          <w:highlight w:val="none"/>
        </w:rPr>
      </w:pPr>
      <w:r>
        <w:rPr>
          <w:rFonts w:hint="eastAsia" w:ascii="仿宋" w:hAnsi="仿宋" w:eastAsia="仿宋"/>
          <w:sz w:val="32"/>
          <w:szCs w:val="32"/>
          <w:highlight w:val="none"/>
        </w:rPr>
        <w:t>总体绩效目标：研究制定资料开发应用计划，进行业务培训，发布普查主要数据公报。</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1．国情国力普查：组织完成国家部署的国情国力普查及重要调查任务，研究提出重大县情县力普查和抽样调查计划并组织实施，汇总、整理和提供有关县情县力方面的统计数据。</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绩效目标：按照国家统计局、财政部关于印发《关于统计部门周期性普查和大型调查经费开支问题的暂行规定》，分年度完成普查工作，确保普查的顺利完成。</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2．专项统计调查：根据部门职责及《中华人民共和国统计法》和国家、省市统计局和县政府有关文件要求，组织实施涉及相关行业数据的专项统计调查。</w:t>
      </w:r>
    </w:p>
    <w:p>
      <w:pPr>
        <w:ind w:firstLine="640" w:firstLineChars="200"/>
        <w:rPr>
          <w:rFonts w:hint="eastAsia" w:ascii="仿宋" w:hAnsi="仿宋" w:eastAsia="仿宋"/>
          <w:sz w:val="32"/>
          <w:szCs w:val="32"/>
          <w:highlight w:val="red"/>
        </w:rPr>
      </w:pPr>
      <w:r>
        <w:rPr>
          <w:rFonts w:hint="eastAsia" w:ascii="仿宋" w:hAnsi="仿宋" w:eastAsia="仿宋"/>
          <w:sz w:val="32"/>
          <w:szCs w:val="32"/>
          <w:highlight w:val="none"/>
        </w:rPr>
        <w:t>绩效目标：组织开展专项统计调查工作，了解基层情况和动态提供统计信息和咨询建议</w:t>
      </w:r>
    </w:p>
    <w:p>
      <w:pPr>
        <w:ind w:firstLine="560"/>
        <w:rPr>
          <w:rFonts w:hint="eastAsia" w:ascii="仿宋" w:hAnsi="仿宋" w:eastAsia="仿宋"/>
          <w:sz w:val="32"/>
          <w:szCs w:val="32"/>
          <w:highlight w:val="none"/>
        </w:rPr>
      </w:pPr>
      <w:r>
        <w:rPr>
          <w:rFonts w:hint="eastAsia" w:ascii="仿宋" w:hAnsi="仿宋" w:eastAsia="仿宋"/>
          <w:sz w:val="32"/>
          <w:szCs w:val="32"/>
          <w:highlight w:val="none"/>
        </w:rPr>
        <w:t>（三）统计政务管理绩效目标情况</w:t>
      </w:r>
    </w:p>
    <w:p>
      <w:pPr>
        <w:ind w:firstLine="560"/>
        <w:rPr>
          <w:rFonts w:hint="eastAsia" w:ascii="仿宋" w:hAnsi="仿宋" w:eastAsia="仿宋"/>
          <w:sz w:val="32"/>
          <w:szCs w:val="32"/>
          <w:highlight w:val="none"/>
        </w:rPr>
      </w:pPr>
      <w:r>
        <w:rPr>
          <w:rFonts w:hint="eastAsia" w:ascii="仿宋" w:hAnsi="仿宋" w:eastAsia="仿宋"/>
          <w:sz w:val="32"/>
          <w:szCs w:val="32"/>
          <w:highlight w:val="none"/>
        </w:rPr>
        <w:t>保障机关日常运转，健全全县统计法制建设，指导全县统计专业技术队伍建设。</w:t>
      </w:r>
    </w:p>
    <w:p>
      <w:pPr>
        <w:ind w:firstLine="560"/>
        <w:rPr>
          <w:rFonts w:hint="eastAsia" w:ascii="仿宋" w:hAnsi="仿宋" w:eastAsia="仿宋"/>
          <w:sz w:val="32"/>
          <w:szCs w:val="32"/>
          <w:highlight w:val="none"/>
        </w:rPr>
      </w:pPr>
      <w:r>
        <w:rPr>
          <w:rFonts w:hint="eastAsia" w:ascii="仿宋" w:hAnsi="仿宋" w:eastAsia="仿宋"/>
          <w:sz w:val="32"/>
          <w:szCs w:val="32"/>
          <w:highlight w:val="none"/>
        </w:rPr>
        <w:t>绩效目标：保障统计信息化建设、统计执法、统计人员上岗资格认定、职称考试等全县统计专业技术队伍建设。</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1．综合业务管理，健全全县统计法制建设，严格查处统计违法现象，开展统计基层基础建设，指导全县统计专业技术队伍建设，协助有关部门组织管理统计专业技术资格</w:t>
      </w:r>
      <w:r>
        <w:rPr>
          <w:rFonts w:hint="eastAsia" w:ascii="仿宋" w:hAnsi="仿宋" w:eastAsia="仿宋"/>
          <w:sz w:val="32"/>
          <w:szCs w:val="32"/>
          <w:highlight w:val="none"/>
          <w:lang w:eastAsia="zh-CN"/>
        </w:rPr>
        <w:t>考试和评聘工作</w:t>
      </w:r>
      <w:r>
        <w:rPr>
          <w:rFonts w:hint="eastAsia" w:ascii="仿宋" w:hAnsi="仿宋" w:eastAsia="仿宋"/>
          <w:sz w:val="32"/>
          <w:szCs w:val="32"/>
          <w:highlight w:val="none"/>
        </w:rPr>
        <w:t>。</w:t>
      </w:r>
    </w:p>
    <w:p>
      <w:pPr>
        <w:ind w:firstLine="560"/>
        <w:rPr>
          <w:rFonts w:hint="eastAsia" w:ascii="仿宋" w:hAnsi="仿宋" w:eastAsia="仿宋"/>
          <w:sz w:val="32"/>
          <w:szCs w:val="32"/>
          <w:highlight w:val="none"/>
        </w:rPr>
      </w:pPr>
      <w:r>
        <w:rPr>
          <w:rFonts w:hint="eastAsia" w:ascii="仿宋" w:hAnsi="仿宋" w:eastAsia="仿宋"/>
          <w:sz w:val="32"/>
          <w:szCs w:val="32"/>
          <w:highlight w:val="none"/>
        </w:rPr>
        <w:t>绩效目标：开展统计执法检查和培训工作，防范统计违法现象的发生；拟定全县统计教育培训制度、规划等，统一归口管理指导全县统计教育培训工作。</w:t>
      </w:r>
    </w:p>
    <w:p>
      <w:pPr>
        <w:ind w:firstLine="560"/>
        <w:rPr>
          <w:rFonts w:hint="eastAsia" w:ascii="仿宋" w:hAnsi="仿宋" w:eastAsia="仿宋"/>
          <w:sz w:val="32"/>
          <w:szCs w:val="32"/>
          <w:highlight w:val="none"/>
        </w:rPr>
      </w:pPr>
      <w:r>
        <w:rPr>
          <w:rFonts w:hint="eastAsia" w:ascii="仿宋" w:hAnsi="仿宋" w:eastAsia="仿宋"/>
          <w:sz w:val="32"/>
          <w:szCs w:val="32"/>
          <w:highlight w:val="none"/>
        </w:rPr>
        <w:t>2．综合事务管理，保障机关日常运转，开展人事管理、老干部管理、党建、后勤等工作。</w:t>
      </w:r>
    </w:p>
    <w:p>
      <w:pPr>
        <w:spacing w:line="584" w:lineRule="exact"/>
        <w:ind w:firstLine="560"/>
        <w:rPr>
          <w:rFonts w:hint="eastAsia" w:ascii="仿宋" w:hAnsi="仿宋" w:eastAsia="仿宋"/>
          <w:sz w:val="32"/>
          <w:szCs w:val="32"/>
          <w:highlight w:val="none"/>
        </w:rPr>
      </w:pPr>
      <w:r>
        <w:rPr>
          <w:rFonts w:hint="eastAsia" w:ascii="仿宋" w:hAnsi="仿宋" w:eastAsia="仿宋"/>
          <w:sz w:val="32"/>
          <w:szCs w:val="32"/>
          <w:highlight w:val="none"/>
        </w:rPr>
        <w:t>绩效目标：开展统计干部培训和统计部门职工再教育工作。</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highlight w:val="none"/>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830"/>
        <w:gridCol w:w="58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399" w:type="dxa"/>
            <w:gridSpan w:val="5"/>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410</w:t>
            </w:r>
            <w:r>
              <w:rPr>
                <w:rFonts w:hint="eastAsia" w:ascii="Times New Roman" w:hAnsi="Times New Roman" w:eastAsia="仿宋_GB2312" w:cs="Times New Roman"/>
                <w:sz w:val="24"/>
                <w:lang w:eastAsia="zh-CN"/>
              </w:rPr>
              <w:t>大厂回族自治县统计局</w:t>
            </w:r>
          </w:p>
        </w:tc>
        <w:tc>
          <w:tcPr>
            <w:tcW w:w="3535" w:type="dxa"/>
            <w:gridSpan w:val="5"/>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gridSpan w:val="2"/>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gridSpan w:val="2"/>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一、国民经济核算</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在全县开展</w:t>
            </w:r>
            <w:r>
              <w:rPr>
                <w:rFonts w:ascii="方正书宋_GBK" w:eastAsia="方正书宋_GBK"/>
              </w:rPr>
              <w:t>GDP</w:t>
            </w:r>
            <w:r>
              <w:rPr>
                <w:rFonts w:hint="eastAsia" w:ascii="方正书宋_GBK" w:eastAsia="方正书宋_GBK"/>
              </w:rPr>
              <w:t>核算、资产负债核算、民营经济核算工作。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完成全县年度数据的测算审核认定工作</w:t>
            </w:r>
            <w:r>
              <w:rPr>
                <w:rFonts w:ascii="方正书宋_GBK" w:eastAsia="方正书宋_GBK"/>
              </w:rPr>
              <w:t>;</w:t>
            </w:r>
            <w:r>
              <w:rPr>
                <w:rFonts w:hint="eastAsia" w:ascii="方正书宋_GBK" w:eastAsia="方正书宋_GBK"/>
              </w:rPr>
              <w:t>完成全县季度数据的测算审核认定工作</w:t>
            </w:r>
            <w:r>
              <w:rPr>
                <w:rFonts w:ascii="方正书宋_GBK" w:eastAsia="方正书宋_GBK"/>
              </w:rPr>
              <w:t>;</w:t>
            </w:r>
            <w:r>
              <w:rPr>
                <w:rFonts w:hint="eastAsia" w:ascii="方正书宋_GBK" w:eastAsia="方正书宋_GBK"/>
              </w:rPr>
              <w:t>完成必要分析，对相关经济决策提供重要依据。</w:t>
            </w:r>
          </w:p>
        </w:tc>
        <w:tc>
          <w:tcPr>
            <w:tcW w:w="1417" w:type="dxa"/>
            <w:gridSpan w:val="2"/>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5"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、国民经济核算</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贯彻执行国家和省、市国民经济核算制度，组织实施全县国民经济核算制度和投入产出调查，核算全县地区生产总值，整理、测算和提供国民经济核算资料，监督管理全县国民经济核算工作。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完成全县年度、季度数据的测算审核认定工作；完成必要分析，对相关经济决策提供重要依据。</w:t>
            </w:r>
          </w:p>
        </w:tc>
        <w:tc>
          <w:tcPr>
            <w:tcW w:w="1417" w:type="dxa"/>
            <w:gridSpan w:val="2"/>
            <w:vAlign w:val="center"/>
          </w:tcPr>
          <w:p>
            <w:pPr>
              <w:spacing w:line="300" w:lineRule="exact"/>
              <w:jc w:val="left"/>
              <w:rPr>
                <w:rFonts w:ascii="方正书宋_GBK" w:eastAsia="方正书宋_GBK"/>
              </w:rPr>
            </w:pPr>
            <w:r>
              <w:rPr>
                <w:rFonts w:hint="eastAsia" w:ascii="方正书宋_GBK" w:eastAsia="方正书宋_GBK"/>
              </w:rPr>
              <w:t>综合数据统计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全部完成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未完成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未开展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0"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二、统计调查</w:t>
            </w:r>
          </w:p>
        </w:tc>
        <w:tc>
          <w:tcPr>
            <w:tcW w:w="1276" w:type="dxa"/>
            <w:vAlign w:val="center"/>
          </w:tcPr>
          <w:p>
            <w:pPr>
              <w:spacing w:line="300" w:lineRule="exact"/>
              <w:jc w:val="left"/>
              <w:rPr>
                <w:rFonts w:ascii="方正书宋_GBK" w:eastAsia="方正书宋_GBK"/>
              </w:rPr>
            </w:pPr>
            <w:r>
              <w:rPr>
                <w:rFonts w:ascii="方正书宋_GBK" w:eastAsia="方正书宋_GBK"/>
              </w:rPr>
              <w:t>40.00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国情国力普查和农业、工业、建筑业、批发零售业、住宿餐饮业、房地产业、其他服务业等行业，以及能源、投资、劳动、文化、科技、城乡住户、人口等涉及相关行业的专项统计调查监测，收集、整理统计数据，提供咨询建议。</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研究制定资料开发应用计划，进行业务培训，发布普查主要数据公报，完成普查工作总结和表彰。</w:t>
            </w:r>
          </w:p>
        </w:tc>
        <w:tc>
          <w:tcPr>
            <w:tcW w:w="1417" w:type="dxa"/>
            <w:gridSpan w:val="2"/>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25"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、国情国力普查</w:t>
            </w:r>
          </w:p>
        </w:tc>
        <w:tc>
          <w:tcPr>
            <w:tcW w:w="1276" w:type="dxa"/>
            <w:vAlign w:val="center"/>
          </w:tcPr>
          <w:p>
            <w:pPr>
              <w:spacing w:line="300" w:lineRule="exact"/>
              <w:jc w:val="left"/>
              <w:rPr>
                <w:rFonts w:ascii="方正书宋_GBK" w:eastAsia="方正书宋_GBK"/>
              </w:rPr>
            </w:pPr>
            <w:r>
              <w:rPr>
                <w:rFonts w:ascii="方正书宋_GBK" w:eastAsia="方正书宋_GBK"/>
              </w:rPr>
              <w:t>20.00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组织完成国家和省、市部署的国情国力普查及重要调查任务，研究提出重大县情县力普查和抽样调查计划并组织实施，汇总、整理和提供有关县情县力方面的统计数据。</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按照国家统计局、财政部关于印发《关于统计部门周期性普查和大型调查经费开支问题的暂行规定》，分年度完成普查工作，确保普查的顺利完成。</w:t>
            </w:r>
          </w:p>
        </w:tc>
        <w:tc>
          <w:tcPr>
            <w:tcW w:w="1417" w:type="dxa"/>
            <w:gridSpan w:val="2"/>
            <w:vAlign w:val="center"/>
          </w:tcPr>
          <w:p>
            <w:pPr>
              <w:spacing w:line="300" w:lineRule="exact"/>
              <w:jc w:val="left"/>
              <w:rPr>
                <w:rFonts w:hint="eastAsia" w:ascii="方正书宋_GBK" w:eastAsia="方正书宋_GBK"/>
              </w:rPr>
            </w:pPr>
            <w:r>
              <w:rPr>
                <w:rFonts w:hint="eastAsia" w:ascii="方正书宋_GBK" w:eastAsia="方正书宋_GBK"/>
              </w:rPr>
              <w:t>国情国力普查</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全部完成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5"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、专项统计调查</w:t>
            </w:r>
          </w:p>
        </w:tc>
        <w:tc>
          <w:tcPr>
            <w:tcW w:w="1276" w:type="dxa"/>
            <w:vAlign w:val="center"/>
          </w:tcPr>
          <w:p>
            <w:pPr>
              <w:spacing w:line="300" w:lineRule="exact"/>
              <w:jc w:val="left"/>
              <w:rPr>
                <w:rFonts w:ascii="方正书宋_GBK" w:eastAsia="方正书宋_GBK"/>
              </w:rPr>
            </w:pPr>
            <w:r>
              <w:rPr>
                <w:rFonts w:ascii="方正书宋_GBK" w:eastAsia="方正书宋_GBK"/>
              </w:rPr>
              <w:t>20.00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根据部门职责及相关法规文件要求，组织实施涉及相关行业数据的专项统计调查。</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组织开展专项统计调查工作，了解基层情况和动态，提供统计信息和咨询建议。</w:t>
            </w:r>
          </w:p>
        </w:tc>
        <w:tc>
          <w:tcPr>
            <w:tcW w:w="1417" w:type="dxa"/>
            <w:gridSpan w:val="2"/>
            <w:vAlign w:val="center"/>
          </w:tcPr>
          <w:p>
            <w:pPr>
              <w:spacing w:line="300" w:lineRule="exact"/>
              <w:jc w:val="left"/>
              <w:rPr>
                <w:rFonts w:hint="eastAsia" w:ascii="方正书宋_GBK" w:eastAsia="方正书宋_GBK"/>
              </w:rPr>
            </w:pPr>
            <w:r>
              <w:rPr>
                <w:rFonts w:hint="eastAsia" w:ascii="方正书宋_GBK" w:eastAsia="方正书宋_GBK"/>
              </w:rPr>
              <w:t>专项统计调查</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完成并上报</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、统计数据采集决策咨询</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指导全县统计信息化系统建设；组织全县统计系统各级各专业实施以企业一套表制度为核心的统计四大工程：建立并管理全县统计信息化系统。</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保障全县统计信息化系统运行安全平稳；保证统计数据的顺利报送汇总。</w:t>
            </w:r>
          </w:p>
        </w:tc>
        <w:tc>
          <w:tcPr>
            <w:tcW w:w="1417" w:type="dxa"/>
            <w:gridSpan w:val="2"/>
            <w:vAlign w:val="center"/>
          </w:tcPr>
          <w:p>
            <w:pPr>
              <w:spacing w:line="300" w:lineRule="exact"/>
              <w:jc w:val="left"/>
              <w:rPr>
                <w:rFonts w:hint="eastAsia" w:ascii="方正书宋_GBK" w:eastAsia="方正书宋_GBK"/>
              </w:rPr>
            </w:pPr>
            <w:r>
              <w:rPr>
                <w:rFonts w:hint="eastAsia" w:ascii="方正书宋_GBK" w:eastAsia="方正书宋_GBK"/>
              </w:rPr>
              <w:t>信息化建设</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按时建成网络平台、信息统计上报正常</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基本按时建成、基本保证运行</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未按时建成、未按时运行</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0"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三、统计政务管理</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保障机关日常运转，健全全县统计法制建设，指导全县统计专业技术队伍建设。</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保障统计信息化建设；保障统计执法、统计人员上岗资格认定、职称考试等全县统计专业技术队伍建设。</w:t>
            </w:r>
          </w:p>
        </w:tc>
        <w:tc>
          <w:tcPr>
            <w:tcW w:w="1417" w:type="dxa"/>
            <w:gridSpan w:val="2"/>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0"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健全全县统计法制建设，严格查处统计违法现象；开展统计基层基础建设，指导全县统计专业技术队伍建设；配合国家和省统计局组织管理统计从业资格认定和持证上岗工作，协助有关部门组织管理统计专业技术资格。</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开展统计执法检查和培训工作，防范统计违法现象的发生；拟定全县统计教育培训计划，统一归口管理指导全县统计教育培训工作；</w:t>
            </w:r>
            <w:r>
              <w:rPr>
                <w:rFonts w:ascii="方正书宋_GBK" w:eastAsia="方正书宋_GBK"/>
              </w:rPr>
              <w:t xml:space="preserve"> </w:t>
            </w:r>
            <w:r>
              <w:rPr>
                <w:rFonts w:hint="eastAsia" w:ascii="方正书宋_GBK" w:eastAsia="方正书宋_GBK"/>
              </w:rPr>
              <w:t>开展全县统计专业技术人员职称资格考试和评聘工作。</w:t>
            </w:r>
          </w:p>
        </w:tc>
        <w:tc>
          <w:tcPr>
            <w:tcW w:w="1417" w:type="dxa"/>
            <w:gridSpan w:val="2"/>
            <w:vAlign w:val="center"/>
          </w:tcPr>
          <w:p>
            <w:pPr>
              <w:spacing w:line="300" w:lineRule="exact"/>
              <w:jc w:val="left"/>
              <w:rPr>
                <w:rFonts w:hint="eastAsia" w:ascii="方正书宋_GBK" w:eastAsia="方正书宋_GBK"/>
              </w:rPr>
            </w:pPr>
            <w:r>
              <w:rPr>
                <w:rFonts w:hint="eastAsia" w:ascii="方正书宋_GBK" w:eastAsia="方正书宋_GBK"/>
              </w:rPr>
              <w:t>统计法制建设</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全部完成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40"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保障机关日常运转，开展纪检监察、人事管理、老干部管理、党建、后勤管理等工作。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保障机关正常运转。</w:t>
            </w:r>
          </w:p>
        </w:tc>
        <w:tc>
          <w:tcPr>
            <w:tcW w:w="1417" w:type="dxa"/>
            <w:gridSpan w:val="2"/>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60%</w:t>
            </w:r>
            <w:r>
              <w:rPr>
                <w:rFonts w:hint="eastAsia" w:ascii="方正书宋_GBK" w:eastAsia="方正书宋_GBK"/>
              </w:rPr>
              <w:t>以下</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p>
      <w:pPr>
        <w:spacing w:line="584" w:lineRule="exact"/>
        <w:ind w:firstLine="640" w:firstLineChars="200"/>
        <w:outlineLvl w:val="0"/>
        <w:rPr>
          <w:rFonts w:hint="eastAsia" w:ascii="仿宋" w:hAnsi="仿宋" w:eastAsia="仿宋"/>
          <w:sz w:val="32"/>
          <w:szCs w:val="32"/>
        </w:rPr>
      </w:pPr>
    </w:p>
    <w:p>
      <w:pPr>
        <w:spacing w:line="584" w:lineRule="exact"/>
        <w:jc w:val="center"/>
        <w:outlineLvl w:val="0"/>
        <w:rPr>
          <w:rFonts w:hint="eastAsia" w:ascii="Times New Roman" w:hAnsi="Times New Roman" w:eastAsia="仿宋_GB2312" w:cs="Times New Roman"/>
          <w:sz w:val="32"/>
          <w:lang w:eastAsia="zh-CN"/>
        </w:rPr>
      </w:pPr>
      <w:bookmarkStart w:id="3" w:name="_Toc504489153"/>
      <w:r>
        <w:rPr>
          <w:rFonts w:ascii="Times New Roman" w:hAnsi="Times New Roman" w:eastAsia="仿宋_GB2312" w:cs="Times New Roman"/>
          <w:sz w:val="32"/>
        </w:rPr>
        <w:t>部门政府采购预算</w:t>
      </w:r>
      <w:bookmarkEnd w:id="3"/>
    </w:p>
    <w:tbl>
      <w:tblPr>
        <w:tblStyle w:val="8"/>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6"/>
        <w:gridCol w:w="1000"/>
        <w:gridCol w:w="881"/>
        <w:gridCol w:w="1297"/>
        <w:gridCol w:w="682"/>
        <w:gridCol w:w="700"/>
        <w:gridCol w:w="897"/>
        <w:gridCol w:w="905"/>
        <w:gridCol w:w="904"/>
        <w:gridCol w:w="905"/>
        <w:gridCol w:w="746"/>
        <w:gridCol w:w="876"/>
        <w:gridCol w:w="878"/>
        <w:gridCol w:w="8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14" w:hRule="atLeast"/>
          <w:tblHeader/>
          <w:jc w:val="center"/>
        </w:trPr>
        <w:tc>
          <w:tcPr>
            <w:tcW w:w="7733"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仿宋_GB2312" w:hAnsi="黑体" w:eastAsia="仿宋_GB2312" w:cs="Times New Roman"/>
                <w:sz w:val="32"/>
                <w:szCs w:val="32"/>
              </w:rPr>
              <w:t>大厂回族自治县</w:t>
            </w:r>
            <w:r>
              <w:rPr>
                <w:rFonts w:hint="eastAsia" w:ascii="仿宋_GB2312" w:hAnsi="黑体" w:eastAsia="仿宋_GB2312" w:cs="Times New Roman"/>
                <w:sz w:val="32"/>
                <w:szCs w:val="32"/>
                <w:lang w:eastAsia="zh-CN"/>
              </w:rPr>
              <w:t>统计局</w:t>
            </w:r>
          </w:p>
        </w:tc>
        <w:tc>
          <w:tcPr>
            <w:tcW w:w="604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4" w:hRule="atLeast"/>
          <w:tblHeader/>
          <w:jc w:val="center"/>
        </w:trPr>
        <w:tc>
          <w:tcPr>
            <w:tcW w:w="3276"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881"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29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68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0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89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047"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4" w:hRule="atLeast"/>
          <w:tblHeader/>
          <w:jc w:val="center"/>
        </w:trPr>
        <w:tc>
          <w:tcPr>
            <w:tcW w:w="227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0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881"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9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68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0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9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05"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309"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33"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9" w:hRule="atLeast"/>
          <w:tblHeader/>
          <w:jc w:val="center"/>
        </w:trPr>
        <w:tc>
          <w:tcPr>
            <w:tcW w:w="227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0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81"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9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68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0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9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05"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4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8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87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33"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4" w:hRule="atLeast"/>
          <w:jc w:val="center"/>
        </w:trPr>
        <w:tc>
          <w:tcPr>
            <w:tcW w:w="2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00" w:type="dxa"/>
            <w:shd w:val="clear" w:color="auto" w:fill="auto"/>
            <w:vAlign w:val="center"/>
          </w:tcPr>
          <w:p>
            <w:pPr>
              <w:spacing w:line="584" w:lineRule="exact"/>
              <w:jc w:val="right"/>
              <w:rPr>
                <w:rFonts w:ascii="Times New Roman" w:hAnsi="Times New Roman" w:eastAsia="仿宋_GB2312" w:cs="Times New Roman"/>
                <w:b/>
              </w:rPr>
            </w:pPr>
          </w:p>
        </w:tc>
        <w:tc>
          <w:tcPr>
            <w:tcW w:w="881" w:type="dxa"/>
            <w:shd w:val="clear" w:color="auto" w:fill="auto"/>
            <w:vAlign w:val="center"/>
          </w:tcPr>
          <w:p>
            <w:pPr>
              <w:spacing w:line="584" w:lineRule="exact"/>
              <w:jc w:val="left"/>
              <w:rPr>
                <w:rFonts w:ascii="Times New Roman" w:hAnsi="Times New Roman" w:eastAsia="仿宋_GB2312" w:cs="Times New Roman"/>
                <w:b/>
              </w:rPr>
            </w:pPr>
          </w:p>
        </w:tc>
        <w:tc>
          <w:tcPr>
            <w:tcW w:w="1297" w:type="dxa"/>
            <w:shd w:val="clear" w:color="auto" w:fill="auto"/>
            <w:vAlign w:val="center"/>
          </w:tcPr>
          <w:p>
            <w:pPr>
              <w:spacing w:line="584" w:lineRule="exact"/>
              <w:jc w:val="left"/>
              <w:rPr>
                <w:rFonts w:ascii="Times New Roman" w:hAnsi="Times New Roman" w:eastAsia="仿宋_GB2312" w:cs="Times New Roman"/>
                <w:b/>
              </w:rPr>
            </w:pPr>
          </w:p>
        </w:tc>
        <w:tc>
          <w:tcPr>
            <w:tcW w:w="682" w:type="dxa"/>
            <w:shd w:val="clear" w:color="auto" w:fill="auto"/>
            <w:vAlign w:val="center"/>
          </w:tcPr>
          <w:p>
            <w:pPr>
              <w:spacing w:line="584" w:lineRule="exact"/>
              <w:jc w:val="left"/>
              <w:rPr>
                <w:rFonts w:ascii="Times New Roman" w:hAnsi="Times New Roman" w:eastAsia="仿宋_GB2312" w:cs="Times New Roman"/>
                <w:b/>
              </w:rPr>
            </w:pPr>
          </w:p>
        </w:tc>
        <w:tc>
          <w:tcPr>
            <w:tcW w:w="700" w:type="dxa"/>
            <w:shd w:val="clear" w:color="auto" w:fill="auto"/>
            <w:vAlign w:val="center"/>
          </w:tcPr>
          <w:p>
            <w:pPr>
              <w:spacing w:line="584" w:lineRule="exact"/>
              <w:jc w:val="right"/>
              <w:rPr>
                <w:rFonts w:ascii="Times New Roman" w:hAnsi="Times New Roman" w:eastAsia="仿宋_GB2312" w:cs="Times New Roman"/>
                <w:b/>
              </w:rPr>
            </w:pPr>
          </w:p>
        </w:tc>
        <w:tc>
          <w:tcPr>
            <w:tcW w:w="897" w:type="dxa"/>
            <w:shd w:val="clear" w:color="auto" w:fill="auto"/>
            <w:vAlign w:val="center"/>
          </w:tcPr>
          <w:p>
            <w:pPr>
              <w:spacing w:line="584" w:lineRule="exact"/>
              <w:jc w:val="right"/>
              <w:rPr>
                <w:rFonts w:ascii="Times New Roman" w:hAnsi="Times New Roman" w:eastAsia="仿宋_GB2312" w:cs="Times New Roman"/>
                <w:b/>
              </w:rPr>
            </w:pPr>
          </w:p>
        </w:tc>
        <w:tc>
          <w:tcPr>
            <w:tcW w:w="905" w:type="dxa"/>
            <w:shd w:val="clear" w:color="auto" w:fill="auto"/>
            <w:vAlign w:val="center"/>
          </w:tcPr>
          <w:p>
            <w:pPr>
              <w:spacing w:line="584" w:lineRule="exact"/>
              <w:jc w:val="right"/>
              <w:rPr>
                <w:rFonts w:ascii="Times New Roman" w:hAnsi="Times New Roman" w:eastAsia="仿宋_GB2312" w:cs="Times New Roman"/>
                <w:b/>
              </w:rPr>
            </w:pPr>
          </w:p>
        </w:tc>
        <w:tc>
          <w:tcPr>
            <w:tcW w:w="904" w:type="dxa"/>
            <w:shd w:val="clear" w:color="auto" w:fill="auto"/>
            <w:vAlign w:val="center"/>
          </w:tcPr>
          <w:p>
            <w:pPr>
              <w:spacing w:line="584" w:lineRule="exact"/>
              <w:jc w:val="right"/>
              <w:rPr>
                <w:rFonts w:ascii="Times New Roman" w:hAnsi="Times New Roman" w:eastAsia="仿宋_GB2312" w:cs="Times New Roman"/>
                <w:b/>
              </w:rPr>
            </w:pPr>
          </w:p>
        </w:tc>
        <w:tc>
          <w:tcPr>
            <w:tcW w:w="905" w:type="dxa"/>
            <w:shd w:val="clear" w:color="auto" w:fill="auto"/>
            <w:vAlign w:val="center"/>
          </w:tcPr>
          <w:p>
            <w:pPr>
              <w:spacing w:line="584" w:lineRule="exact"/>
              <w:jc w:val="right"/>
              <w:rPr>
                <w:rFonts w:ascii="Times New Roman" w:hAnsi="Times New Roman" w:eastAsia="仿宋_GB2312" w:cs="Times New Roman"/>
                <w:b/>
              </w:rPr>
            </w:pPr>
          </w:p>
        </w:tc>
        <w:tc>
          <w:tcPr>
            <w:tcW w:w="746" w:type="dxa"/>
            <w:shd w:val="clear" w:color="auto" w:fill="auto"/>
            <w:vAlign w:val="center"/>
          </w:tcPr>
          <w:p>
            <w:pPr>
              <w:spacing w:line="584" w:lineRule="exact"/>
              <w:jc w:val="right"/>
              <w:rPr>
                <w:rFonts w:ascii="Times New Roman" w:hAnsi="Times New Roman" w:eastAsia="仿宋_GB2312" w:cs="Times New Roman"/>
                <w:b/>
              </w:rPr>
            </w:pPr>
          </w:p>
        </w:tc>
        <w:tc>
          <w:tcPr>
            <w:tcW w:w="876" w:type="dxa"/>
            <w:shd w:val="clear" w:color="auto" w:fill="auto"/>
            <w:vAlign w:val="center"/>
          </w:tcPr>
          <w:p>
            <w:pPr>
              <w:spacing w:line="584" w:lineRule="exact"/>
              <w:jc w:val="right"/>
              <w:rPr>
                <w:rFonts w:ascii="Times New Roman" w:hAnsi="Times New Roman" w:eastAsia="仿宋_GB2312" w:cs="Times New Roman"/>
                <w:b/>
              </w:rPr>
            </w:pPr>
          </w:p>
        </w:tc>
        <w:tc>
          <w:tcPr>
            <w:tcW w:w="878" w:type="dxa"/>
            <w:shd w:val="clear" w:color="auto" w:fill="auto"/>
            <w:vAlign w:val="center"/>
          </w:tcPr>
          <w:p>
            <w:pPr>
              <w:spacing w:line="584" w:lineRule="exact"/>
              <w:jc w:val="right"/>
              <w:rPr>
                <w:rFonts w:ascii="Times New Roman" w:hAnsi="Times New Roman" w:eastAsia="仿宋_GB2312" w:cs="Times New Roman"/>
                <w:b/>
              </w:rPr>
            </w:pPr>
          </w:p>
        </w:tc>
        <w:tc>
          <w:tcPr>
            <w:tcW w:w="833"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3" w:hRule="atLeast"/>
          <w:jc w:val="center"/>
        </w:trPr>
        <w:tc>
          <w:tcPr>
            <w:tcW w:w="2276" w:type="dxa"/>
            <w:shd w:val="clear" w:color="auto" w:fill="auto"/>
            <w:vAlign w:val="center"/>
          </w:tcPr>
          <w:p>
            <w:pPr>
              <w:spacing w:line="584" w:lineRule="exact"/>
              <w:jc w:val="center"/>
              <w:rPr>
                <w:rFonts w:ascii="Times New Roman" w:hAnsi="Times New Roman" w:eastAsia="仿宋_GB2312" w:cs="Times New Roman"/>
                <w:b/>
              </w:rPr>
            </w:pPr>
          </w:p>
        </w:tc>
        <w:tc>
          <w:tcPr>
            <w:tcW w:w="1000" w:type="dxa"/>
            <w:shd w:val="clear" w:color="auto" w:fill="auto"/>
            <w:vAlign w:val="center"/>
          </w:tcPr>
          <w:p>
            <w:pPr>
              <w:spacing w:line="584" w:lineRule="exact"/>
              <w:jc w:val="right"/>
              <w:rPr>
                <w:rFonts w:ascii="Times New Roman" w:hAnsi="Times New Roman" w:eastAsia="仿宋_GB2312" w:cs="Times New Roman"/>
                <w:b/>
              </w:rPr>
            </w:pPr>
          </w:p>
        </w:tc>
        <w:tc>
          <w:tcPr>
            <w:tcW w:w="881" w:type="dxa"/>
            <w:shd w:val="clear" w:color="auto" w:fill="auto"/>
            <w:vAlign w:val="center"/>
          </w:tcPr>
          <w:p>
            <w:pPr>
              <w:spacing w:line="584" w:lineRule="exact"/>
              <w:jc w:val="left"/>
              <w:rPr>
                <w:rFonts w:ascii="Times New Roman" w:hAnsi="Times New Roman" w:eastAsia="仿宋_GB2312" w:cs="Times New Roman"/>
                <w:b/>
              </w:rPr>
            </w:pPr>
          </w:p>
        </w:tc>
        <w:tc>
          <w:tcPr>
            <w:tcW w:w="1297" w:type="dxa"/>
            <w:shd w:val="clear" w:color="auto" w:fill="auto"/>
            <w:vAlign w:val="center"/>
          </w:tcPr>
          <w:p>
            <w:pPr>
              <w:spacing w:line="584" w:lineRule="exact"/>
              <w:jc w:val="left"/>
              <w:rPr>
                <w:rFonts w:ascii="Times New Roman" w:hAnsi="Times New Roman" w:eastAsia="仿宋_GB2312" w:cs="Times New Roman"/>
                <w:b/>
              </w:rPr>
            </w:pPr>
          </w:p>
        </w:tc>
        <w:tc>
          <w:tcPr>
            <w:tcW w:w="682" w:type="dxa"/>
            <w:shd w:val="clear" w:color="auto" w:fill="auto"/>
            <w:vAlign w:val="center"/>
          </w:tcPr>
          <w:p>
            <w:pPr>
              <w:spacing w:line="584" w:lineRule="exact"/>
              <w:jc w:val="left"/>
              <w:rPr>
                <w:rFonts w:ascii="Times New Roman" w:hAnsi="Times New Roman" w:eastAsia="仿宋_GB2312" w:cs="Times New Roman"/>
                <w:b/>
              </w:rPr>
            </w:pPr>
          </w:p>
        </w:tc>
        <w:tc>
          <w:tcPr>
            <w:tcW w:w="700" w:type="dxa"/>
            <w:shd w:val="clear" w:color="auto" w:fill="auto"/>
            <w:vAlign w:val="center"/>
          </w:tcPr>
          <w:p>
            <w:pPr>
              <w:spacing w:line="584" w:lineRule="exact"/>
              <w:jc w:val="right"/>
              <w:rPr>
                <w:rFonts w:ascii="Times New Roman" w:hAnsi="Times New Roman" w:eastAsia="仿宋_GB2312" w:cs="Times New Roman"/>
                <w:b/>
              </w:rPr>
            </w:pPr>
          </w:p>
        </w:tc>
        <w:tc>
          <w:tcPr>
            <w:tcW w:w="897" w:type="dxa"/>
            <w:shd w:val="clear" w:color="auto" w:fill="auto"/>
            <w:vAlign w:val="center"/>
          </w:tcPr>
          <w:p>
            <w:pPr>
              <w:spacing w:line="584" w:lineRule="exact"/>
              <w:jc w:val="right"/>
              <w:rPr>
                <w:rFonts w:ascii="Times New Roman" w:hAnsi="Times New Roman" w:eastAsia="仿宋_GB2312" w:cs="Times New Roman"/>
                <w:b/>
              </w:rPr>
            </w:pPr>
          </w:p>
        </w:tc>
        <w:tc>
          <w:tcPr>
            <w:tcW w:w="905" w:type="dxa"/>
            <w:shd w:val="clear" w:color="auto" w:fill="auto"/>
            <w:vAlign w:val="center"/>
          </w:tcPr>
          <w:p>
            <w:pPr>
              <w:spacing w:line="584" w:lineRule="exact"/>
              <w:jc w:val="right"/>
              <w:rPr>
                <w:rFonts w:ascii="Times New Roman" w:hAnsi="Times New Roman" w:eastAsia="仿宋_GB2312" w:cs="Times New Roman"/>
                <w:b/>
              </w:rPr>
            </w:pPr>
          </w:p>
        </w:tc>
        <w:tc>
          <w:tcPr>
            <w:tcW w:w="904" w:type="dxa"/>
            <w:shd w:val="clear" w:color="auto" w:fill="auto"/>
            <w:vAlign w:val="center"/>
          </w:tcPr>
          <w:p>
            <w:pPr>
              <w:spacing w:line="584" w:lineRule="exact"/>
              <w:jc w:val="right"/>
              <w:rPr>
                <w:rFonts w:ascii="Times New Roman" w:hAnsi="Times New Roman" w:eastAsia="仿宋_GB2312" w:cs="Times New Roman"/>
                <w:b/>
              </w:rPr>
            </w:pPr>
          </w:p>
        </w:tc>
        <w:tc>
          <w:tcPr>
            <w:tcW w:w="905" w:type="dxa"/>
            <w:shd w:val="clear" w:color="auto" w:fill="auto"/>
            <w:vAlign w:val="center"/>
          </w:tcPr>
          <w:p>
            <w:pPr>
              <w:spacing w:line="584" w:lineRule="exact"/>
              <w:jc w:val="right"/>
              <w:rPr>
                <w:rFonts w:ascii="Times New Roman" w:hAnsi="Times New Roman" w:eastAsia="仿宋_GB2312" w:cs="Times New Roman"/>
                <w:b/>
              </w:rPr>
            </w:pPr>
          </w:p>
        </w:tc>
        <w:tc>
          <w:tcPr>
            <w:tcW w:w="746" w:type="dxa"/>
            <w:shd w:val="clear" w:color="auto" w:fill="auto"/>
            <w:vAlign w:val="center"/>
          </w:tcPr>
          <w:p>
            <w:pPr>
              <w:spacing w:line="584" w:lineRule="exact"/>
              <w:jc w:val="right"/>
              <w:rPr>
                <w:rFonts w:ascii="Times New Roman" w:hAnsi="Times New Roman" w:eastAsia="仿宋_GB2312" w:cs="Times New Roman"/>
                <w:b/>
              </w:rPr>
            </w:pPr>
          </w:p>
        </w:tc>
        <w:tc>
          <w:tcPr>
            <w:tcW w:w="876" w:type="dxa"/>
            <w:shd w:val="clear" w:color="auto" w:fill="auto"/>
            <w:vAlign w:val="center"/>
          </w:tcPr>
          <w:p>
            <w:pPr>
              <w:spacing w:line="584" w:lineRule="exact"/>
              <w:jc w:val="right"/>
              <w:rPr>
                <w:rFonts w:ascii="Times New Roman" w:hAnsi="Times New Roman" w:eastAsia="仿宋_GB2312" w:cs="Times New Roman"/>
                <w:b/>
              </w:rPr>
            </w:pPr>
          </w:p>
        </w:tc>
        <w:tc>
          <w:tcPr>
            <w:tcW w:w="878" w:type="dxa"/>
            <w:shd w:val="clear" w:color="auto" w:fill="auto"/>
            <w:vAlign w:val="center"/>
          </w:tcPr>
          <w:p>
            <w:pPr>
              <w:spacing w:line="584" w:lineRule="exact"/>
              <w:jc w:val="right"/>
              <w:rPr>
                <w:rFonts w:ascii="Times New Roman" w:hAnsi="Times New Roman" w:eastAsia="仿宋_GB2312" w:cs="Times New Roman"/>
                <w:b/>
              </w:rPr>
            </w:pPr>
          </w:p>
        </w:tc>
        <w:tc>
          <w:tcPr>
            <w:tcW w:w="833" w:type="dxa"/>
            <w:shd w:val="clear" w:color="auto" w:fill="auto"/>
            <w:vAlign w:val="center"/>
          </w:tcPr>
          <w:p>
            <w:pPr>
              <w:spacing w:line="584" w:lineRule="exact"/>
              <w:jc w:val="right"/>
              <w:rPr>
                <w:rFonts w:ascii="Times New Roman" w:hAnsi="Times New Roman" w:eastAsia="仿宋_GB2312" w:cs="Times New Roman"/>
                <w:b/>
              </w:rPr>
            </w:pPr>
          </w:p>
        </w:tc>
      </w:tr>
      <w:bookmarkEnd w:id="2"/>
    </w:tbl>
    <w:p>
      <w:pPr>
        <w:autoSpaceDE w:val="0"/>
        <w:autoSpaceDN w:val="0"/>
        <w:adjustRightInd w:val="0"/>
        <w:spacing w:line="584" w:lineRule="exact"/>
        <w:ind w:firstLine="640" w:firstLineChars="200"/>
        <w:jc w:val="left"/>
        <w:rPr>
          <w:rFonts w:ascii="Times New Roman" w:hAnsi="Times New Roman" w:eastAsia="黑体" w:cs="Times New Roman"/>
          <w:sz w:val="32"/>
          <w:szCs w:val="32"/>
          <w:highlight w:val="none"/>
        </w:rPr>
      </w:pPr>
      <w:r>
        <w:rPr>
          <w:rFonts w:ascii="Times New Roman" w:hAnsi="黑体" w:eastAsia="黑体" w:cs="Times New Roman"/>
          <w:sz w:val="32"/>
          <w:szCs w:val="32"/>
          <w:highlight w:val="none"/>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大厂回族自治县统计局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107.92</w:t>
      </w:r>
      <w:r>
        <w:rPr>
          <w:rFonts w:ascii="Times New Roman" w:hAnsi="Times New Roman" w:eastAsia="仿宋_GB2312" w:cs="Times New Roman"/>
          <w:sz w:val="32"/>
          <w:szCs w:val="32"/>
        </w:rPr>
        <w:t>万元，本年度我部门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大厂回族自治县统计局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大厂回族自治县统计局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107.92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top"/>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top"/>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top"/>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top"/>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top"/>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top"/>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top"/>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top"/>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85.25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I1ZWU2NDc2NzBiMDAyZDRhMDVjMWEwN2JjNDRmYWUifQ=="/>
  </w:docVars>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835D7"/>
    <w:rsid w:val="00290FD6"/>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20427"/>
    <w:rsid w:val="0083348E"/>
    <w:rsid w:val="008334AE"/>
    <w:rsid w:val="00836FED"/>
    <w:rsid w:val="0083724E"/>
    <w:rsid w:val="00841D53"/>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39D9"/>
    <w:rsid w:val="00AB77AA"/>
    <w:rsid w:val="00AC4748"/>
    <w:rsid w:val="00AD5259"/>
    <w:rsid w:val="00B01D36"/>
    <w:rsid w:val="00B078CD"/>
    <w:rsid w:val="00B20712"/>
    <w:rsid w:val="00B40832"/>
    <w:rsid w:val="00B43238"/>
    <w:rsid w:val="00B45DD3"/>
    <w:rsid w:val="00B54B90"/>
    <w:rsid w:val="00B64FA8"/>
    <w:rsid w:val="00B73582"/>
    <w:rsid w:val="00B75216"/>
    <w:rsid w:val="00B755A2"/>
    <w:rsid w:val="00B9104C"/>
    <w:rsid w:val="00B91D52"/>
    <w:rsid w:val="00B9490F"/>
    <w:rsid w:val="00BA1ACD"/>
    <w:rsid w:val="00BD09F8"/>
    <w:rsid w:val="00C005B2"/>
    <w:rsid w:val="00C1565C"/>
    <w:rsid w:val="00C21E0F"/>
    <w:rsid w:val="00C362CA"/>
    <w:rsid w:val="00C772C1"/>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E1724"/>
    <w:rsid w:val="00FE753C"/>
    <w:rsid w:val="00FF2346"/>
    <w:rsid w:val="03AD7652"/>
    <w:rsid w:val="0A3C5C28"/>
    <w:rsid w:val="0B5C31F5"/>
    <w:rsid w:val="0E900654"/>
    <w:rsid w:val="113A355C"/>
    <w:rsid w:val="145E049C"/>
    <w:rsid w:val="1A1B4BA1"/>
    <w:rsid w:val="1ABA26AC"/>
    <w:rsid w:val="1DED5905"/>
    <w:rsid w:val="1E73677D"/>
    <w:rsid w:val="1F4265F5"/>
    <w:rsid w:val="1F4B7A98"/>
    <w:rsid w:val="20A20F26"/>
    <w:rsid w:val="2BEF1AA3"/>
    <w:rsid w:val="2C60526A"/>
    <w:rsid w:val="34C84B12"/>
    <w:rsid w:val="37862A40"/>
    <w:rsid w:val="387B570C"/>
    <w:rsid w:val="3A092004"/>
    <w:rsid w:val="3B260216"/>
    <w:rsid w:val="3ECD507F"/>
    <w:rsid w:val="3FC13FC5"/>
    <w:rsid w:val="435F37BA"/>
    <w:rsid w:val="440B71AF"/>
    <w:rsid w:val="448A3A71"/>
    <w:rsid w:val="48AF67F1"/>
    <w:rsid w:val="4A3501D3"/>
    <w:rsid w:val="4AE37D24"/>
    <w:rsid w:val="4C0B26F5"/>
    <w:rsid w:val="52261289"/>
    <w:rsid w:val="577A0E76"/>
    <w:rsid w:val="59C323DF"/>
    <w:rsid w:val="59DC1F72"/>
    <w:rsid w:val="610879AD"/>
    <w:rsid w:val="689B7D43"/>
    <w:rsid w:val="69BF4DE0"/>
    <w:rsid w:val="6E5E52A8"/>
    <w:rsid w:val="713A7BC6"/>
    <w:rsid w:val="71771AA1"/>
    <w:rsid w:val="75AB3AE9"/>
    <w:rsid w:val="7DC138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autoRedefine/>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footnote reference"/>
    <w:autoRedefine/>
    <w:semiHidden/>
    <w:unhideWhenUsed/>
    <w:qFormat/>
    <w:uiPriority w:val="99"/>
    <w:rPr>
      <w:vertAlign w:val="superscript"/>
    </w:rPr>
  </w:style>
  <w:style w:type="character" w:customStyle="1" w:styleId="11">
    <w:name w:val="页眉 Char"/>
    <w:basedOn w:val="9"/>
    <w:link w:val="4"/>
    <w:autoRedefine/>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4158-9291-496D-AD29-0BF56C79FC0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648</Words>
  <Characters>3695</Characters>
  <Lines>30</Lines>
  <Paragraphs>8</Paragraphs>
  <TotalTime>0</TotalTime>
  <ScaleCrop>false</ScaleCrop>
  <LinksUpToDate>false</LinksUpToDate>
  <CharactersWithSpaces>4335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2018-02-23T06:18:00Z</dcterms:created>
  <dc:creator>guest</dc:creator>
  <cp:lastModifiedBy>caiwu</cp:lastModifiedBy>
  <cp:lastPrinted>2019-02-19T03:14:00Z</cp:lastPrinted>
  <dcterms:modified xsi:type="dcterms:W3CDTF">2023-12-29T01:06:30Z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FC53B940A1534713916EF97342BA7FCC_12</vt:lpwstr>
  </property>
</Properties>
</file>